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DF74DD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DF74DD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DF74DD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DF74DD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DF74DD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DF74DD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DF74DD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DF74DD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860E3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D43E1A" w:rsidRDefault="0042503B" w:rsidP="00621285">
      <w:pPr>
        <w:pStyle w:val="a5"/>
        <w:keepNext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DF74DD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="00FF7C2D"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DF74DD" w:rsidRPr="00E860E3">
        <w:rPr>
          <w:rFonts w:ascii="Times New Roman" w:hAnsi="Times New Roman"/>
          <w:b/>
          <w:sz w:val="26"/>
          <w:szCs w:val="26"/>
        </w:rPr>
        <w:fldChar w:fldCharType="end"/>
      </w:r>
      <w:r w:rsidRPr="00E860E3">
        <w:rPr>
          <w:rFonts w:ascii="Times New Roman" w:hAnsi="Times New Roman"/>
          <w:b/>
          <w:sz w:val="26"/>
          <w:szCs w:val="26"/>
        </w:rPr>
        <w:t xml:space="preserve"> с правом решающего голоса в </w:t>
      </w:r>
      <w:r w:rsidR="00F92891">
        <w:rPr>
          <w:rFonts w:ascii="Times New Roman" w:hAnsi="Times New Roman"/>
          <w:b/>
          <w:sz w:val="26"/>
          <w:szCs w:val="26"/>
        </w:rPr>
        <w:t>дни</w:t>
      </w:r>
      <w:r w:rsidRPr="00E860E3">
        <w:rPr>
          <w:rFonts w:ascii="Times New Roman" w:hAnsi="Times New Roman"/>
          <w:b/>
          <w:sz w:val="26"/>
          <w:szCs w:val="26"/>
        </w:rPr>
        <w:t xml:space="preserve"> голосования </w:t>
      </w:r>
      <w:proofErr w:type="gramStart"/>
      <w:r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DF74DD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DF74DD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DF74DD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DF74DD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5C16D3" w:rsidP="0042503B">
      <w:pPr>
        <w:autoSpaceDE w:val="0"/>
        <w:autoSpaceDN w:val="0"/>
        <w:jc w:val="both"/>
        <w:rPr>
          <w:szCs w:val="24"/>
        </w:rPr>
      </w:pPr>
      <w:r>
        <w:rPr>
          <w:sz w:val="26"/>
          <w:szCs w:val="26"/>
        </w:rPr>
        <w:t xml:space="preserve">1. </w:t>
      </w:r>
      <w:r w:rsidR="0042503B" w:rsidRPr="007F42F9">
        <w:rPr>
          <w:sz w:val="26"/>
          <w:szCs w:val="26"/>
        </w:rPr>
        <w:t xml:space="preserve">Утвердить следующее распределение </w:t>
      </w:r>
      <w:r w:rsidR="0042503B"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proofErr w:type="gramStart"/>
      <w:r w:rsidR="0042503B" w:rsidRPr="007F42F9"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="00DF74DD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DF74DD">
        <w:rPr>
          <w:bCs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037"/>
        <w:gridCol w:w="141"/>
      </w:tblGrid>
      <w:tr w:rsidR="00F92891" w:rsidRPr="00BC3DA7" w:rsidTr="00244F59">
        <w:trPr>
          <w:gridAfter w:val="1"/>
          <w:wAfter w:w="141" w:type="dxa"/>
          <w:trHeight w:val="283"/>
          <w:tblHeader/>
        </w:trPr>
        <w:tc>
          <w:tcPr>
            <w:tcW w:w="1986" w:type="dxa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</w:p>
        </w:tc>
        <w:tc>
          <w:tcPr>
            <w:tcW w:w="7938" w:type="dxa"/>
            <w:gridSpan w:val="3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F92891" w:rsidRPr="00880374" w:rsidTr="00244F59">
        <w:trPr>
          <w:gridAfter w:val="1"/>
          <w:wAfter w:w="141" w:type="dxa"/>
          <w:trHeight w:val="785"/>
        </w:trPr>
        <w:tc>
          <w:tcPr>
            <w:tcW w:w="1986" w:type="dxa"/>
          </w:tcPr>
          <w:p w:rsidR="00F92891" w:rsidRPr="00AA2CFC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Проверка готовности к работе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стационарных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 переносных </w:t>
            </w:r>
            <w:proofErr w:type="spellStart"/>
            <w:r w:rsidRPr="00791CC1">
              <w:rPr>
                <w:color w:val="231F20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791CC1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791CC1">
              <w:rPr>
                <w:color w:val="231F20"/>
                <w:sz w:val="24"/>
                <w:szCs w:val="24"/>
                <w:vertAlign w:val="superscript"/>
                <w:lang w:val="ru-RU"/>
              </w:rPr>
              <w:t xml:space="preserve">* 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до начала работы УИК и контроль за нахождением в зоне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видимости камер видеонаблюдения всех объектов наблюдения</w:t>
            </w:r>
            <w:proofErr w:type="gramEnd"/>
          </w:p>
        </w:tc>
      </w:tr>
      <w:tr w:rsidR="00F92891" w:rsidRPr="00880374" w:rsidTr="00244F59">
        <w:trPr>
          <w:gridAfter w:val="1"/>
          <w:wAfter w:w="141" w:type="dxa"/>
          <w:trHeight w:val="41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противопожарной безопасностью в помещениях УИК и помещении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Работа с сейф-пакетами,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предназначенными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sz w:val="24"/>
                <w:szCs w:val="24"/>
                <w:lang w:val="ru-RU"/>
              </w:rPr>
              <w:t xml:space="preserve">Информирование членов УИК и наблюдателей о числе избирателей, включенных в список избирателей на данном избирательном участке, в </w:t>
            </w:r>
            <w:r w:rsidRPr="00791CC1">
              <w:rPr>
                <w:sz w:val="24"/>
                <w:szCs w:val="24"/>
                <w:lang w:val="ru-RU"/>
              </w:rPr>
              <w:lastRenderedPageBreak/>
              <w:t>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</w:t>
            </w:r>
            <w:r>
              <w:rPr>
                <w:sz w:val="24"/>
                <w:szCs w:val="24"/>
                <w:lang w:val="ru-RU"/>
              </w:rPr>
              <w:t xml:space="preserve"> соответствующего</w:t>
            </w:r>
            <w:r w:rsidRPr="00791CC1">
              <w:rPr>
                <w:sz w:val="24"/>
                <w:szCs w:val="24"/>
                <w:lang w:val="ru-RU"/>
              </w:rPr>
              <w:t xml:space="preserve"> заявления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0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Default="00F92891" w:rsidP="00E8746E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</w:t>
            </w:r>
            <w:r w:rsidR="00E8746E">
              <w:rPr>
                <w:lang w:eastAsia="en-US"/>
              </w:rPr>
              <w:t>__________________________________</w:t>
            </w:r>
          </w:p>
          <w:p w:rsidR="00E8746E" w:rsidRDefault="00E8746E" w:rsidP="00E8746E">
            <w:pPr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  <w:p w:rsidR="00E8746E" w:rsidRPr="00E8746E" w:rsidRDefault="00E8746E" w:rsidP="00E8746E">
            <w:pPr>
              <w:spacing w:before="40" w:after="40"/>
              <w:jc w:val="center"/>
              <w:rPr>
                <w:i/>
                <w:sz w:val="20"/>
                <w:lang w:eastAsia="en-US"/>
              </w:rPr>
            </w:pPr>
            <w:r w:rsidRPr="00E8746E">
              <w:rPr>
                <w:i/>
                <w:sz w:val="20"/>
                <w:lang w:eastAsia="en-US"/>
              </w:rPr>
              <w:t>(указать нормативное основание)</w:t>
            </w:r>
          </w:p>
        </w:tc>
      </w:tr>
      <w:tr w:rsidR="00F92891" w:rsidRPr="00880374" w:rsidTr="00244F59">
        <w:trPr>
          <w:gridAfter w:val="1"/>
          <w:wAfter w:w="141" w:type="dxa"/>
          <w:trHeight w:val="4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spacing w:before="40" w:after="40"/>
              <w:rPr>
                <w:bCs/>
              </w:rPr>
            </w:pPr>
            <w:r w:rsidRPr="00791CC1">
              <w:t>Подготовка информации для размещения на информационном стенде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(при совмещении дней голосования)</w:t>
            </w:r>
          </w:p>
        </w:tc>
      </w:tr>
      <w:tr w:rsidR="00F92891" w:rsidRPr="00880374" w:rsidTr="00244F59">
        <w:trPr>
          <w:gridAfter w:val="1"/>
          <w:wAfter w:w="141" w:type="dxa"/>
          <w:trHeight w:val="3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Передача избирательных бюллетеней членам УИК, в том числе при организации голосования вне помещения для голосования и при </w:t>
            </w:r>
            <w:r w:rsidRPr="00791CC1">
              <w:rPr>
                <w:sz w:val="24"/>
                <w:szCs w:val="24"/>
                <w:lang w:val="ru-RU"/>
              </w:rPr>
              <w:t>дополнительной форме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6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F92891" w:rsidRPr="00880374" w:rsidTr="00244F59">
        <w:trPr>
          <w:gridAfter w:val="1"/>
          <w:wAfter w:w="141" w:type="dxa"/>
          <w:trHeight w:val="34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 № 1</w:t>
            </w:r>
          </w:p>
        </w:tc>
      </w:tr>
      <w:tr w:rsidR="00F92891" w:rsidRPr="00880374" w:rsidTr="00244F59">
        <w:trPr>
          <w:gridAfter w:val="1"/>
          <w:wAfter w:w="141" w:type="dxa"/>
          <w:trHeight w:val="16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3</w:t>
            </w:r>
          </w:p>
        </w:tc>
      </w:tr>
      <w:tr w:rsidR="00F92891" w:rsidRPr="00880374" w:rsidTr="00244F59">
        <w:trPr>
          <w:gridAfter w:val="1"/>
          <w:wAfter w:w="141" w:type="dxa"/>
          <w:trHeight w:val="25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F92891" w:rsidRPr="00880374" w:rsidTr="00244F59">
        <w:trPr>
          <w:gridAfter w:val="1"/>
          <w:wAfter w:w="141" w:type="dxa"/>
          <w:trHeight w:val="85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 о предоставлении возможности проголосовать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F92891" w:rsidRPr="00880374" w:rsidTr="00244F59">
        <w:trPr>
          <w:gridAfter w:val="1"/>
          <w:wAfter w:w="141" w:type="dxa"/>
          <w:trHeight w:val="28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F92891" w:rsidRPr="00880374" w:rsidTr="00244F59">
        <w:trPr>
          <w:gridAfter w:val="1"/>
          <w:wAfter w:w="141" w:type="dxa"/>
          <w:trHeight w:val="53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>сотрудником</w:t>
            </w:r>
            <w:proofErr w:type="gramEnd"/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lastRenderedPageBreak/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C67298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Вывешивание увеличенн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>ых форм протоколов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№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1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 xml:space="preserve">и № 2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первый день голосования.  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F92891" w:rsidRPr="00880374" w:rsidTr="00244F59">
        <w:trPr>
          <w:gridAfter w:val="1"/>
          <w:wAfter w:w="141" w:type="dxa"/>
          <w:trHeight w:val="63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F92891" w:rsidRPr="00880374" w:rsidTr="00244F59">
        <w:trPr>
          <w:gridAfter w:val="1"/>
          <w:wAfter w:w="141" w:type="dxa"/>
          <w:trHeight w:val="2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F92891" w:rsidRPr="00880374" w:rsidTr="00244F59">
        <w:trPr>
          <w:gridAfter w:val="1"/>
          <w:wAfter w:w="141" w:type="dxa"/>
          <w:trHeight w:val="5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F92891" w:rsidRPr="00880374" w:rsidTr="00244F59">
        <w:trPr>
          <w:gridAfter w:val="1"/>
          <w:wAfter w:w="141" w:type="dxa"/>
          <w:trHeight w:val="25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Участие в работе по погашению неиспользованных избирательных бюллетеней и специальных знаков (марок) 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E95B82" w:rsidRDefault="00F92891" w:rsidP="00244F59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>Работа с программным обеспечением «Интерактивный рабочий блокнот УИК» на компьютере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13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F92891" w:rsidRPr="00880374" w:rsidTr="00244F59">
        <w:trPr>
          <w:gridAfter w:val="1"/>
          <w:wAfter w:w="141" w:type="dxa"/>
          <w:trHeight w:val="40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C67298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</w:t>
            </w:r>
            <w:r w:rsidR="007550E9">
              <w:rPr>
                <w:color w:val="231F20"/>
                <w:sz w:val="24"/>
                <w:szCs w:val="24"/>
                <w:lang w:val="ru-RU"/>
              </w:rPr>
              <w:t>ы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УИК/изготовление протокол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>ов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№ 1 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 xml:space="preserve">и </w:t>
            </w:r>
            <w:r w:rsidR="00C67298" w:rsidRPr="00880374">
              <w:rPr>
                <w:color w:val="231F20"/>
                <w:sz w:val="24"/>
                <w:szCs w:val="24"/>
                <w:lang w:val="ru-RU"/>
              </w:rPr>
              <w:t>№ 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>2</w:t>
            </w:r>
            <w:r w:rsidR="00C67298"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F92891" w:rsidRPr="00880374" w:rsidTr="00244F59">
        <w:trPr>
          <w:gridAfter w:val="1"/>
          <w:wAfter w:w="141" w:type="dxa"/>
          <w:trHeight w:val="27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C67298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увеличенные формы протокол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>ов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№ 1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 xml:space="preserve"> и № 2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5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C67298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Подписание протоколов</w:t>
            </w:r>
            <w:r w:rsidR="00F92891" w:rsidRPr="00880374">
              <w:rPr>
                <w:color w:val="231F20"/>
                <w:sz w:val="24"/>
                <w:szCs w:val="24"/>
                <w:lang w:val="ru-RU"/>
              </w:rPr>
              <w:t xml:space="preserve"> № 1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и № 2</w:t>
            </w:r>
            <w:r w:rsidR="00F92891" w:rsidRPr="00880374">
              <w:rPr>
                <w:color w:val="231F20"/>
                <w:sz w:val="24"/>
                <w:szCs w:val="24"/>
                <w:lang w:val="ru-RU"/>
              </w:rPr>
              <w:t xml:space="preserve"> УИК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F92891" w:rsidRPr="00880374" w:rsidTr="00244F59">
        <w:trPr>
          <w:gridAfter w:val="1"/>
          <w:wAfter w:w="141" w:type="dxa"/>
          <w:trHeight w:val="37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дополнительных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F92891" w:rsidRPr="00880374" w:rsidTr="00244F59">
        <w:trPr>
          <w:gridAfter w:val="1"/>
          <w:wAfter w:w="141" w:type="dxa"/>
          <w:trHeight w:val="52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C67298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изготовлении копий </w:t>
            </w:r>
            <w:r w:rsidR="00C67298">
              <w:rPr>
                <w:sz w:val="24"/>
                <w:szCs w:val="24"/>
                <w:lang w:val="ru-RU"/>
              </w:rPr>
              <w:t>протоколов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 xml:space="preserve"> и № 2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УИК об итогах голосования</w:t>
            </w:r>
          </w:p>
        </w:tc>
      </w:tr>
      <w:tr w:rsidR="00F92891" w:rsidRPr="007826A1" w:rsidTr="00244F59">
        <w:trPr>
          <w:gridAfter w:val="1"/>
          <w:wAfter w:w="141" w:type="dxa"/>
          <w:trHeight w:val="19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BC3DA7" w:rsidRDefault="00F92891" w:rsidP="00C67298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Передача протокол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>ов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№ 1 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 xml:space="preserve">и </w:t>
            </w:r>
            <w:r w:rsidR="00C67298" w:rsidRPr="00880374">
              <w:rPr>
                <w:color w:val="231F20"/>
                <w:sz w:val="24"/>
                <w:szCs w:val="24"/>
                <w:lang w:val="ru-RU"/>
              </w:rPr>
              <w:t>№ </w:t>
            </w:r>
            <w:r w:rsidR="00C67298">
              <w:rPr>
                <w:color w:val="231F20"/>
                <w:sz w:val="24"/>
                <w:szCs w:val="24"/>
                <w:lang w:val="ru-RU"/>
              </w:rPr>
              <w:t>2</w:t>
            </w:r>
            <w:r w:rsidR="00C67298"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УИК об итогах голосования и ключевого носителя информации в ТИК </w:t>
            </w:r>
          </w:p>
        </w:tc>
      </w:tr>
      <w:tr w:rsidR="00F92891" w:rsidRPr="007C038E" w:rsidTr="00244F59">
        <w:trPr>
          <w:gridAfter w:val="1"/>
          <w:wAfter w:w="141" w:type="dxa"/>
          <w:trHeight w:val="276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Является оператором КОИБ</w:t>
            </w:r>
          </w:p>
        </w:tc>
      </w:tr>
      <w:tr w:rsidR="00F92891" w:rsidRPr="007C038E" w:rsidTr="00244F59">
        <w:trPr>
          <w:gridAfter w:val="1"/>
          <w:wAfter w:w="141" w:type="dxa"/>
          <w:trHeight w:val="502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  <w:gridSpan w:val="2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  <w:gridSpan w:val="2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957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210A43" w:rsidRDefault="00DF74DD" w:rsidP="004D1784">
            <w:pPr>
              <w:jc w:val="center"/>
              <w:rPr>
                <w:sz w:val="26"/>
                <w:szCs w:val="26"/>
              </w:rPr>
            </w:pPr>
            <w:r w:rsidRPr="00210A43">
              <w:rPr>
                <w:sz w:val="26"/>
                <w:szCs w:val="26"/>
              </w:rPr>
              <w:fldChar w:fldCharType="begin"/>
            </w:r>
            <w:r w:rsidR="00F92891" w:rsidRPr="00210A43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210A43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957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957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210A43" w:rsidRDefault="00DF74DD" w:rsidP="004D1784">
            <w:pPr>
              <w:jc w:val="center"/>
              <w:rPr>
                <w:sz w:val="26"/>
                <w:szCs w:val="26"/>
              </w:rPr>
            </w:pPr>
            <w:r w:rsidRPr="00210A43">
              <w:rPr>
                <w:sz w:val="26"/>
                <w:szCs w:val="26"/>
              </w:rPr>
              <w:fldChar w:fldCharType="begin"/>
            </w:r>
            <w:r w:rsidR="00F92891" w:rsidRPr="00210A43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210A43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957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1A2DD3"/>
    <w:rsid w:val="00210A43"/>
    <w:rsid w:val="002323C1"/>
    <w:rsid w:val="002448E5"/>
    <w:rsid w:val="002A221D"/>
    <w:rsid w:val="00320472"/>
    <w:rsid w:val="00321181"/>
    <w:rsid w:val="00341852"/>
    <w:rsid w:val="003825B3"/>
    <w:rsid w:val="003B46F1"/>
    <w:rsid w:val="004032B8"/>
    <w:rsid w:val="00411EFA"/>
    <w:rsid w:val="00414381"/>
    <w:rsid w:val="0042503B"/>
    <w:rsid w:val="00433F03"/>
    <w:rsid w:val="00495525"/>
    <w:rsid w:val="004B21AC"/>
    <w:rsid w:val="004F0E6D"/>
    <w:rsid w:val="00564A5B"/>
    <w:rsid w:val="005666F0"/>
    <w:rsid w:val="005A1D95"/>
    <w:rsid w:val="005C16D3"/>
    <w:rsid w:val="00621285"/>
    <w:rsid w:val="0062275B"/>
    <w:rsid w:val="00626F70"/>
    <w:rsid w:val="00673292"/>
    <w:rsid w:val="006824E9"/>
    <w:rsid w:val="006858A5"/>
    <w:rsid w:val="006C5925"/>
    <w:rsid w:val="00737796"/>
    <w:rsid w:val="007550E9"/>
    <w:rsid w:val="0080092B"/>
    <w:rsid w:val="00800BDE"/>
    <w:rsid w:val="008461B0"/>
    <w:rsid w:val="00873C25"/>
    <w:rsid w:val="00881097"/>
    <w:rsid w:val="008E297E"/>
    <w:rsid w:val="0095797F"/>
    <w:rsid w:val="009E6B08"/>
    <w:rsid w:val="009F58C1"/>
    <w:rsid w:val="00A04648"/>
    <w:rsid w:val="00A2787E"/>
    <w:rsid w:val="00A90A9F"/>
    <w:rsid w:val="00AF32BD"/>
    <w:rsid w:val="00B45961"/>
    <w:rsid w:val="00B64E8F"/>
    <w:rsid w:val="00BE530D"/>
    <w:rsid w:val="00BF1E0C"/>
    <w:rsid w:val="00C67298"/>
    <w:rsid w:val="00CA19E4"/>
    <w:rsid w:val="00CD61CA"/>
    <w:rsid w:val="00D43E1A"/>
    <w:rsid w:val="00DF74DD"/>
    <w:rsid w:val="00E462CA"/>
    <w:rsid w:val="00E65A58"/>
    <w:rsid w:val="00E860E3"/>
    <w:rsid w:val="00E8746E"/>
    <w:rsid w:val="00EB5404"/>
    <w:rsid w:val="00EB617E"/>
    <w:rsid w:val="00ED241A"/>
    <w:rsid w:val="00F26F7C"/>
    <w:rsid w:val="00F67053"/>
    <w:rsid w:val="00F92891"/>
    <w:rsid w:val="00FC6492"/>
    <w:rsid w:val="00FD1F9D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33</cp:revision>
  <dcterms:created xsi:type="dcterms:W3CDTF">2022-07-21T13:38:00Z</dcterms:created>
  <dcterms:modified xsi:type="dcterms:W3CDTF">2023-07-24T10:24:00Z</dcterms:modified>
</cp:coreProperties>
</file>